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0D1B2A" w:sz="6" w:space="1"/>
        </w:pBdr>
        <w:spacing w:before="0" w:after="40"/>
      </w:pPr>
      <w:r>
        <w:rPr>
          <w:rFonts w:ascii="Arial" w:cs="Arial" w:eastAsia="Arial" w:hAnsi="Arial"/>
          <w:b/>
          <w:bCs/>
          <w:color w:val="0D1B2A"/>
          <w:sz w:val="22"/>
          <w:szCs w:val="22"/>
        </w:rPr>
        <w:t xml:space="preserve">DAVID H. KOSKY  </w:t>
      </w:r>
      <w:r>
        <w:rPr>
          <w:rFonts w:ascii="Arial" w:cs="Arial" w:eastAsia="Arial" w:hAnsi="Arial"/>
          <w:color w:val="666666"/>
          <w:sz w:val="18"/>
          <w:szCs w:val="18"/>
        </w:rPr>
        <w:t xml:space="preserve">//  AI Systems Analyst | LLM Reliability &amp; Evaluation  //  DavidHKosky@gmail.com  //  718.404.6333</w:t>
      </w:r>
    </w:p>
    <w:p>
      <w:pPr>
        <w:spacing w:before="120" w:after="120"/>
      </w:pPr>
      <w:r>
        <w:t xml:space="preserve"/>
      </w:r>
    </w:p>
    <w:p>
      <w:pPr>
        <w:spacing w:before="0" w:after="40"/>
      </w:pPr>
      <w:r>
        <w:rPr>
          <w:rFonts w:ascii="Arial" w:cs="Arial" w:eastAsia="Arial" w:hAnsi="Arial"/>
          <w:b/>
          <w:bCs/>
          <w:color w:val="0D1B2A"/>
          <w:sz w:val="48"/>
          <w:szCs w:val="48"/>
        </w:rPr>
        <w:t xml:space="preserve">WORK SAMPLES</w:t>
      </w:r>
    </w:p>
    <w:p>
      <w:pPr>
        <w:spacing w:before="0" w:after="40"/>
      </w:pPr>
      <w:r>
        <w:rPr>
          <w:rFonts w:ascii="Arial" w:cs="Arial" w:eastAsia="Arial" w:hAnsi="Arial"/>
          <w:i/>
          <w:iCs/>
          <w:color w:val="666666"/>
          <w:sz w:val="22"/>
          <w:szCs w:val="22"/>
        </w:rPr>
        <w:t xml:space="preserve">Three demonstrations of the HoloShape analytical methodology.</w:t>
      </w:r>
    </w:p>
    <w:p>
      <w:pPr>
        <w:spacing w:before="0" w:after="0"/>
      </w:pPr>
      <w:r>
        <w:rPr>
          <w:rFonts w:ascii="Arial" w:cs="Arial" w:eastAsia="Arial" w:hAnsi="Arial"/>
          <w:color w:val="666666"/>
          <w:sz w:val="20"/>
          <w:szCs w:val="20"/>
        </w:rPr>
        <w:t xml:space="preserve">Each piece was produced independently using publicly available information. Full artifacts available upon request.</w:t>
      </w:r>
    </w:p>
    <w:p>
      <w:pPr>
        <w:spacing w:before="120" w:after="120"/>
      </w:pPr>
      <w:r>
        <w:t xml:space="preserve"/>
      </w:r>
    </w:p>
    <w:p>
      <w:pPr>
        <w:pBdr>
          <w:bottom w:val="single" w:color="B7950B" w:sz="4" w:space="1"/>
        </w:pBdr>
        <w:spacing w:before="160" w:after="160"/>
      </w:pPr>
    </w:p>
    <w:p>
      <w:pPr>
        <w:spacing w:before="120" w:after="120"/>
      </w:pPr>
      <w:r>
        <w:t xml:space="preserve"/>
      </w:r>
    </w:p>
    <w:p>
      <w:pPr>
        <w:spacing w:before="0" w:after="80"/>
      </w:pPr>
      <w:r>
        <w:rPr>
          <w:rFonts w:ascii="Arial" w:cs="Arial" w:eastAsia="Arial" w:hAnsi="Arial"/>
          <w:b/>
          <w:bCs/>
          <w:color w:val="0D1B2A"/>
          <w:sz w:val="24"/>
          <w:szCs w:val="24"/>
        </w:rPr>
        <w:t xml:space="preserve">THE METHODOLOGY</w:t>
      </w:r>
    </w:p>
    <w:p>
      <w:pPr>
        <w:spacing w:before="0" w:after="80"/>
      </w:pPr>
      <w:r>
        <w:rPr>
          <w:rFonts w:ascii="Arial" w:cs="Arial" w:eastAsia="Arial" w:hAnsi="Arial"/>
          <w:color w:val="333333"/>
          <w:sz w:val="20"/>
          <w:szCs w:val="20"/>
        </w:rPr>
        <w:t xml:space="preserve">HoloShape is a structured analytical framework that moves through three phases: Discovery (what is the system), Solutions (what can be done given what is), and Invention (what specific mechanisms produce durable change). It applies equally to enterprise strategy, AI model evaluation, and complex narrative systems.</w:t>
      </w:r>
    </w:p>
    <w:p>
      <w:pPr>
        <w:spacing w:before="0" w:after="0"/>
      </w:pPr>
      <w:r>
        <w:rPr>
          <w:rFonts w:ascii="Arial" w:cs="Arial" w:eastAsia="Arial" w:hAnsi="Arial"/>
          <w:i/>
          <w:iCs/>
          <w:color w:val="333333"/>
          <w:sz w:val="20"/>
          <w:szCs w:val="20"/>
        </w:rPr>
        <w:t xml:space="preserve">The output is always structural clarity — not recommendations divorced from reality, but mechanisms that grow necessarily from what is actually true about the system.</w:t>
      </w:r>
    </w:p>
    <w:p>
      <w:pPr>
        <w:spacing w:before="160" w:after="160"/>
      </w:pPr>
      <w:r>
        <w:t xml:space="preserve"/>
      </w:r>
    </w:p>
    <w:p>
      <w:pPr>
        <w:pBdr>
          <w:bottom w:val="single" w:color="1B4F72" w:sz="4" w:space="1"/>
        </w:pBdr>
        <w:spacing w:before="160" w:after="160"/>
      </w:pPr>
    </w:p>
    <w:p>
      <w:pPr>
        <w:spacing w:before="16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single" w:color="CCCCCC" w:sz="1"/>
              <w:left w:val="single" w:color="CCCCCC" w:sz="1"/>
              <w:bottom w:val="single" w:color="CCCCCC" w:sz="1"/>
              <w:right w:val="single" w:color="CCCCCC" w:sz="1"/>
            </w:tcBorders>
            <w:shd w:fill="0D1B2A" w:val="clear"/>
            <w:tcMar>
              <w:top w:type="dxa" w:w="160"/>
              <w:left w:type="dxa" w:w="200"/>
              <w:bottom w:type="dxa" w:w="160"/>
              <w:right w:type="dxa" w:w="200"/>
            </w:tcMar>
          </w:tcPr>
          <w:p>
            <w:pPr>
              <w:spacing w:before="0" w:after="40"/>
            </w:pPr>
            <w:r>
              <w:rPr>
                <w:rFonts w:ascii="Arial" w:cs="Arial" w:eastAsia="Arial" w:hAnsi="Arial"/>
                <w:b/>
                <w:bCs/>
                <w:color w:val="AAAAAA"/>
                <w:sz w:val="18"/>
                <w:szCs w:val="18"/>
              </w:rPr>
              <w:t xml:space="preserve">CASE 1  //  </w:t>
            </w:r>
            <w:r>
              <w:rPr>
                <w:rFonts w:ascii="Arial" w:cs="Arial" w:eastAsia="Arial" w:hAnsi="Arial"/>
                <w:b/>
                <w:bCs/>
                <w:color w:val="B7950B"/>
                <w:sz w:val="18"/>
                <w:szCs w:val="18"/>
              </w:rPr>
              <w:t xml:space="preserve">Enterprise Strategy  //  Public Company Analysis</w:t>
            </w:r>
          </w:p>
          <w:p>
            <w:pPr>
              <w:spacing w:before="0" w:after="0"/>
            </w:pPr>
            <w:r>
              <w:rPr>
                <w:rFonts w:ascii="Arial" w:cs="Arial" w:eastAsia="Arial" w:hAnsi="Arial"/>
                <w:b/>
                <w:bCs/>
                <w:color w:val="FFFFFF"/>
                <w:sz w:val="28"/>
                <w:szCs w:val="28"/>
              </w:rPr>
              <w:t xml:space="preserve">Enterprise Structural Strategy Review</w:t>
            </w:r>
          </w:p>
        </w:tc>
      </w:tr>
      <w:tr>
        <w:tc>
          <w:tcPr>
            <w:tcBorders>
              <w:top w:val="single" w:color="CCCCCC" w:sz="1"/>
              <w:left w:val="single" w:color="CCCCCC" w:sz="1"/>
              <w:bottom w:val="single" w:color="CCCCCC" w:sz="1"/>
              <w:right w:val="single" w:color="CCCCCC" w:sz="1"/>
            </w:tcBorders>
            <w:shd w:fill="F8FAFF" w:val="clear"/>
            <w:tcMar>
              <w:top w:type="dxa" w:w="160"/>
              <w:left w:type="dxa" w:w="200"/>
              <w:bottom w:type="dxa" w:w="160"/>
              <w:right w:type="dxa" w:w="200"/>
            </w:tcMar>
          </w:tcPr>
          <w:p>
            <w:pPr>
              <w:spacing w:before="80" w:after="40"/>
            </w:pPr>
            <w:r>
              <w:rPr>
                <w:rFonts w:ascii="Arial" w:cs="Arial" w:eastAsia="Arial" w:hAnsi="Arial"/>
                <w:b/>
                <w:bCs/>
                <w:color w:val="1B4F72"/>
                <w:sz w:val="18"/>
                <w:szCs w:val="18"/>
              </w:rPr>
              <w:t xml:space="preserve">THE PROBLEM</w:t>
            </w:r>
          </w:p>
          <w:p>
            <w:pPr>
              <w:spacing w:before="0" w:after="120"/>
            </w:pPr>
            <w:r>
              <w:rPr>
                <w:rFonts w:ascii="Arial" w:cs="Arial" w:eastAsia="Arial" w:hAnsi="Arial"/>
                <w:color w:val="333333"/>
                <w:sz w:val="20"/>
                <w:szCs w:val="20"/>
              </w:rPr>
              <w:t xml:space="preserve">Large enterprises operating at scale often cannot see their own structural dynamics clearly. They know something is tightening — margin pressure, execution friction, strategic optionality narrowing — but lack a framework to identify where pressures are correlated versus isolated.</w:t>
            </w:r>
          </w:p>
          <w:p>
            <w:pPr>
              <w:spacing w:before="80" w:after="40"/>
            </w:pPr>
            <w:r>
              <w:rPr>
                <w:rFonts w:ascii="Arial" w:cs="Arial" w:eastAsia="Arial" w:hAnsi="Arial"/>
                <w:b/>
                <w:bCs/>
                <w:color w:val="1B4F72"/>
                <w:sz w:val="18"/>
                <w:szCs w:val="18"/>
              </w:rPr>
              <w:t xml:space="preserve">THE METHOD</w:t>
            </w:r>
          </w:p>
          <w:p>
            <w:pPr>
              <w:spacing w:before="0" w:after="120"/>
            </w:pPr>
            <w:r>
              <w:rPr>
                <w:rFonts w:ascii="Arial" w:cs="Arial" w:eastAsia="Arial" w:hAnsi="Arial"/>
                <w:color w:val="333333"/>
                <w:sz w:val="20"/>
                <w:szCs w:val="20"/>
              </w:rPr>
              <w:t xml:space="preserve">Applied HoloShape's Discovery → Solutions → Invention workflow to Netflix using public financial disclosures, earnings commentary, and observable operating behavior. Constructed a six-surface structural substrate, identified the dominant constraint plane (operating margin guardrail), mapped five cross-domain pressure intersections, and produced tiered deliverables: executive synthesis, domain modules, and invention pathways.</w:t>
            </w:r>
          </w:p>
          <w:p>
            <w:pPr>
              <w:spacing w:before="80" w:after="40"/>
            </w:pPr>
            <w:r>
              <w:rPr>
                <w:rFonts w:ascii="Arial" w:cs="Arial" w:eastAsia="Arial" w:hAnsi="Arial"/>
                <w:b/>
                <w:bCs/>
                <w:color w:val="1B4F72"/>
                <w:sz w:val="18"/>
                <w:szCs w:val="18"/>
              </w:rPr>
              <w:t xml:space="preserve">THE OUTPUT</w:t>
            </w:r>
          </w:p>
          <w:p>
            <w:pPr>
              <w:spacing w:before="0" w:after="120"/>
            </w:pPr>
            <w:r>
              <w:rPr>
                <w:rFonts w:ascii="Arial" w:cs="Arial" w:eastAsia="Arial" w:hAnsi="Arial"/>
                <w:color w:val="333333"/>
                <w:sz w:val="20"/>
                <w:szCs w:val="20"/>
              </w:rPr>
              <w:t xml:space="preserve">A complete enterprise structural strategy review: three-page executive synthesis readable in 15 minutes, five domain modules with structural depth, and five invention spines with concrete mechanism adjustments, metrics, thresholds, and failure mode analysis. 27-page unified document.</w:t>
            </w:r>
          </w:p>
          <w:p>
            <w:pPr>
              <w:spacing w:before="80" w:after="40"/>
            </w:pPr>
            <w:r>
              <w:rPr>
                <w:rFonts w:ascii="Arial" w:cs="Arial" w:eastAsia="Arial" w:hAnsi="Arial"/>
                <w:b/>
                <w:bCs/>
                <w:color w:val="1B4F72"/>
                <w:sz w:val="18"/>
                <w:szCs w:val="18"/>
              </w:rPr>
              <w:t xml:space="preserve">WHY IT MATTERS</w:t>
            </w:r>
          </w:p>
          <w:p>
            <w:pPr>
              <w:spacing w:before="0" w:after="80"/>
            </w:pPr>
            <w:r>
              <w:rPr>
                <w:rFonts w:ascii="Arial" w:cs="Arial" w:eastAsia="Arial" w:hAnsi="Arial"/>
                <w:i/>
                <w:iCs/>
                <w:color w:val="333333"/>
                <w:sz w:val="20"/>
                <w:szCs w:val="20"/>
              </w:rPr>
              <w:t xml:space="preserve">Demonstrates the methodology's ability to produce board-level strategic clarity from publicly available information alone. With internal data, the analysis is deeper and more granular. Full report available upon request.</w:t>
            </w:r>
          </w:p>
        </w:tc>
      </w:tr>
    </w:tbl>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single" w:color="CCCCCC" w:sz="1"/>
              <w:left w:val="single" w:color="CCCCCC" w:sz="1"/>
              <w:bottom w:val="single" w:color="CCCCCC" w:sz="1"/>
              <w:right w:val="single" w:color="CCCCCC" w:sz="1"/>
            </w:tcBorders>
            <w:shd w:fill="0D1B2A" w:val="clear"/>
            <w:tcMar>
              <w:top w:type="dxa" w:w="160"/>
              <w:left w:type="dxa" w:w="200"/>
              <w:bottom w:type="dxa" w:w="160"/>
              <w:right w:type="dxa" w:w="200"/>
            </w:tcMar>
          </w:tcPr>
          <w:p>
            <w:pPr>
              <w:spacing w:before="0" w:after="40"/>
            </w:pPr>
            <w:r>
              <w:rPr>
                <w:rFonts w:ascii="Arial" w:cs="Arial" w:eastAsia="Arial" w:hAnsi="Arial"/>
                <w:b/>
                <w:bCs/>
                <w:color w:val="AAAAAA"/>
                <w:sz w:val="18"/>
                <w:szCs w:val="18"/>
              </w:rPr>
              <w:t xml:space="preserve">CASE 2  //  </w:t>
            </w:r>
            <w:r>
              <w:rPr>
                <w:rFonts w:ascii="Arial" w:cs="Arial" w:eastAsia="Arial" w:hAnsi="Arial"/>
                <w:b/>
                <w:bCs/>
                <w:color w:val="B7950B"/>
                <w:sz w:val="18"/>
                <w:szCs w:val="18"/>
              </w:rPr>
              <w:t xml:space="preserve">AI Model Evaluation  //  Reliability Testing</w:t>
            </w:r>
          </w:p>
          <w:p>
            <w:pPr>
              <w:spacing w:before="0" w:after="0"/>
            </w:pPr>
            <w:r>
              <w:rPr>
                <w:rFonts w:ascii="Arial" w:cs="Arial" w:eastAsia="Arial" w:hAnsi="Arial"/>
                <w:b/>
                <w:bCs/>
                <w:color w:val="FFFFFF"/>
                <w:sz w:val="28"/>
                <w:szCs w:val="28"/>
              </w:rPr>
              <w:t xml:space="preserve">LLM Evaluation Protocol &amp; Benchmark</w:t>
            </w:r>
          </w:p>
        </w:tc>
      </w:tr>
      <w:tr>
        <w:tc>
          <w:tcPr>
            <w:tcBorders>
              <w:top w:val="single" w:color="CCCCCC" w:sz="1"/>
              <w:left w:val="single" w:color="CCCCCC" w:sz="1"/>
              <w:bottom w:val="single" w:color="CCCCCC" w:sz="1"/>
              <w:right w:val="single" w:color="CCCCCC" w:sz="1"/>
            </w:tcBorders>
            <w:shd w:fill="F8FAFF" w:val="clear"/>
            <w:tcMar>
              <w:top w:type="dxa" w:w="160"/>
              <w:left w:type="dxa" w:w="200"/>
              <w:bottom w:type="dxa" w:w="160"/>
              <w:right w:type="dxa" w:w="200"/>
            </w:tcMar>
          </w:tcPr>
          <w:p>
            <w:pPr>
              <w:spacing w:before="80" w:after="40"/>
            </w:pPr>
            <w:r>
              <w:rPr>
                <w:rFonts w:ascii="Arial" w:cs="Arial" w:eastAsia="Arial" w:hAnsi="Arial"/>
                <w:b/>
                <w:bCs/>
                <w:color w:val="1B4F72"/>
                <w:sz w:val="18"/>
                <w:szCs w:val="18"/>
              </w:rPr>
              <w:t xml:space="preserve">THE PROBLEM</w:t>
            </w:r>
          </w:p>
          <w:p>
            <w:pPr>
              <w:spacing w:before="0" w:after="120"/>
            </w:pPr>
            <w:r>
              <w:rPr>
                <w:rFonts w:ascii="Arial" w:cs="Arial" w:eastAsia="Arial" w:hAnsi="Arial"/>
                <w:color w:val="333333"/>
                <w:sz w:val="20"/>
                <w:szCs w:val="20"/>
              </w:rPr>
              <w:t xml:space="preserve">As large language models are deployed in production environments, organizations need reliable methods to assess reasoning stability — not just accuracy on static benchmarks, but consistency across multi-turn interactions, constraint adherence under pressure, and failure mode behavior.</w:t>
            </w:r>
          </w:p>
          <w:p>
            <w:pPr>
              <w:spacing w:before="80" w:after="40"/>
            </w:pPr>
            <w:r>
              <w:rPr>
                <w:rFonts w:ascii="Arial" w:cs="Arial" w:eastAsia="Arial" w:hAnsi="Arial"/>
                <w:b/>
                <w:bCs/>
                <w:color w:val="1B4F72"/>
                <w:sz w:val="18"/>
                <w:szCs w:val="18"/>
              </w:rPr>
              <w:t xml:space="preserve">THE METHOD</w:t>
            </w:r>
          </w:p>
          <w:p>
            <w:pPr>
              <w:spacing w:before="0" w:after="120"/>
            </w:pPr>
            <w:r>
              <w:rPr>
                <w:rFonts w:ascii="Arial" w:cs="Arial" w:eastAsia="Arial" w:hAnsi="Arial"/>
                <w:color w:val="333333"/>
                <w:sz w:val="20"/>
                <w:szCs w:val="20"/>
              </w:rPr>
              <w:t xml:space="preserve">Designed a 20-prompt evaluation protocol (Alpha-Stability Test v1.5c) that tests models against a structured substrate with deliberate constraint complexity. Built a scoring rubric measuring seven dimensions: factual grounding, boundary adherence, constraint consistency, confidence calibration, precision, tension handling, and self-correction. Each dimension carries explicit penalty logic and weighted scoring.</w:t>
            </w:r>
          </w:p>
          <w:p>
            <w:pPr>
              <w:spacing w:before="80" w:after="40"/>
            </w:pPr>
            <w:r>
              <w:rPr>
                <w:rFonts w:ascii="Arial" w:cs="Arial" w:eastAsia="Arial" w:hAnsi="Arial"/>
                <w:b/>
                <w:bCs/>
                <w:color w:val="1B4F72"/>
                <w:sz w:val="18"/>
                <w:szCs w:val="18"/>
              </w:rPr>
              <w:t xml:space="preserve">THE OUTPUT</w:t>
            </w:r>
          </w:p>
          <w:p>
            <w:pPr>
              <w:spacing w:before="0" w:after="120"/>
            </w:pPr>
            <w:r>
              <w:rPr>
                <w:rFonts w:ascii="Arial" w:cs="Arial" w:eastAsia="Arial" w:hAnsi="Arial"/>
                <w:color w:val="333333"/>
                <w:sz w:val="20"/>
                <w:szCs w:val="20"/>
              </w:rPr>
              <w:t xml:space="preserve">A repeatable, model-agnostic benchmarking instrument. Produces a single Alpha Score (0.000–1.000) with subscores per dimension, a violation log with severity classification, and stability band classification (High / Moderate / Low / Unstable). Applicable to any LLM provider or version.</w:t>
            </w:r>
          </w:p>
          <w:p>
            <w:pPr>
              <w:spacing w:before="80" w:after="40"/>
            </w:pPr>
            <w:r>
              <w:rPr>
                <w:rFonts w:ascii="Arial" w:cs="Arial" w:eastAsia="Arial" w:hAnsi="Arial"/>
                <w:b/>
                <w:bCs/>
                <w:color w:val="1B4F72"/>
                <w:sz w:val="18"/>
                <w:szCs w:val="18"/>
              </w:rPr>
              <w:t xml:space="preserve">WHY IT MATTERS</w:t>
            </w:r>
          </w:p>
          <w:p>
            <w:pPr>
              <w:spacing w:before="0" w:after="80"/>
            </w:pPr>
            <w:r>
              <w:rPr>
                <w:rFonts w:ascii="Arial" w:cs="Arial" w:eastAsia="Arial" w:hAnsi="Arial"/>
                <w:i/>
                <w:iCs/>
                <w:color w:val="333333"/>
                <w:sz w:val="20"/>
                <w:szCs w:val="20"/>
              </w:rPr>
              <w:t xml:space="preserve">Provides a structured, auditable method for comparing model behavior across providers and versions — the kind of evaluation framework AI teams need before committing to production deployment. Full protocol available upon request.</w:t>
            </w:r>
          </w:p>
        </w:tc>
      </w:tr>
    </w:tbl>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Borders>
              <w:top w:val="single" w:color="CCCCCC" w:sz="1"/>
              <w:left w:val="single" w:color="CCCCCC" w:sz="1"/>
              <w:bottom w:val="single" w:color="CCCCCC" w:sz="1"/>
              <w:right w:val="single" w:color="CCCCCC" w:sz="1"/>
            </w:tcBorders>
            <w:shd w:fill="0D1B2A" w:val="clear"/>
            <w:tcMar>
              <w:top w:type="dxa" w:w="160"/>
              <w:left w:type="dxa" w:w="200"/>
              <w:bottom w:type="dxa" w:w="160"/>
              <w:right w:type="dxa" w:w="200"/>
            </w:tcMar>
          </w:tcPr>
          <w:p>
            <w:pPr>
              <w:spacing w:before="0" w:after="40"/>
            </w:pPr>
            <w:r>
              <w:rPr>
                <w:rFonts w:ascii="Arial" w:cs="Arial" w:eastAsia="Arial" w:hAnsi="Arial"/>
                <w:b/>
                <w:bCs/>
                <w:color w:val="AAAAAA"/>
                <w:sz w:val="18"/>
                <w:szCs w:val="18"/>
              </w:rPr>
              <w:t xml:space="preserve">CASE 3  //  </w:t>
            </w:r>
            <w:r>
              <w:rPr>
                <w:rFonts w:ascii="Arial" w:cs="Arial" w:eastAsia="Arial" w:hAnsi="Arial"/>
                <w:b/>
                <w:bCs/>
                <w:color w:val="B7950B"/>
                <w:sz w:val="18"/>
                <w:szCs w:val="18"/>
              </w:rPr>
              <w:t xml:space="preserve">Complex Systems  //  Methodology Demonstration</w:t>
            </w:r>
          </w:p>
          <w:p>
            <w:pPr>
              <w:spacing w:before="0" w:after="0"/>
            </w:pPr>
            <w:r>
              <w:rPr>
                <w:rFonts w:ascii="Arial" w:cs="Arial" w:eastAsia="Arial" w:hAnsi="Arial"/>
                <w:b/>
                <w:bCs/>
                <w:color w:val="FFFFFF"/>
                <w:sz w:val="28"/>
                <w:szCs w:val="28"/>
              </w:rPr>
              <w:t xml:space="preserve">Structural Narrative Analysis</w:t>
            </w:r>
          </w:p>
        </w:tc>
      </w:tr>
      <w:tr>
        <w:tc>
          <w:tcPr>
            <w:tcBorders>
              <w:top w:val="single" w:color="CCCCCC" w:sz="1"/>
              <w:left w:val="single" w:color="CCCCCC" w:sz="1"/>
              <w:bottom w:val="single" w:color="CCCCCC" w:sz="1"/>
              <w:right w:val="single" w:color="CCCCCC" w:sz="1"/>
            </w:tcBorders>
            <w:shd w:fill="F8FAFF" w:val="clear"/>
            <w:tcMar>
              <w:top w:type="dxa" w:w="160"/>
              <w:left w:type="dxa" w:w="200"/>
              <w:bottom w:type="dxa" w:w="160"/>
              <w:right w:type="dxa" w:w="200"/>
            </w:tcMar>
          </w:tcPr>
          <w:p>
            <w:pPr>
              <w:spacing w:before="80" w:after="40"/>
            </w:pPr>
            <w:r>
              <w:rPr>
                <w:rFonts w:ascii="Arial" w:cs="Arial" w:eastAsia="Arial" w:hAnsi="Arial"/>
                <w:b/>
                <w:bCs/>
                <w:color w:val="1B4F72"/>
                <w:sz w:val="18"/>
                <w:szCs w:val="18"/>
              </w:rPr>
              <w:t xml:space="preserve">THE PROBLEM</w:t>
            </w:r>
          </w:p>
          <w:p>
            <w:pPr>
              <w:spacing w:before="0" w:after="120"/>
            </w:pPr>
            <w:r>
              <w:rPr>
                <w:rFonts w:ascii="Arial" w:cs="Arial" w:eastAsia="Arial" w:hAnsi="Arial"/>
                <w:color w:val="333333"/>
                <w:sz w:val="20"/>
                <w:szCs w:val="20"/>
              </w:rPr>
              <w:t xml:space="preserve">Analytical frameworks are often domain-specific — they work for financial systems but break down when applied to other complex structures. A genuinely robust methodology should be able to reveal structure in any domain.</w:t>
            </w:r>
          </w:p>
          <w:p>
            <w:pPr>
              <w:spacing w:before="80" w:after="40"/>
            </w:pPr>
            <w:r>
              <w:rPr>
                <w:rFonts w:ascii="Arial" w:cs="Arial" w:eastAsia="Arial" w:hAnsi="Arial"/>
                <w:b/>
                <w:bCs/>
                <w:color w:val="1B4F72"/>
                <w:sz w:val="18"/>
                <w:szCs w:val="18"/>
              </w:rPr>
              <w:t xml:space="preserve">THE METHOD</w:t>
            </w:r>
          </w:p>
          <w:p>
            <w:pPr>
              <w:spacing w:before="0" w:after="120"/>
            </w:pPr>
            <w:r>
              <w:rPr>
                <w:rFonts w:ascii="Arial" w:cs="Arial" w:eastAsia="Arial" w:hAnsi="Arial"/>
                <w:color w:val="333333"/>
                <w:sz w:val="20"/>
                <w:szCs w:val="20"/>
              </w:rPr>
              <w:t xml:space="preserve">Applied HoloShape's structural analysis to The Count of Monte Cristo — not as literary criticism, but as a demonstration that the methodology surfaces dependency chains, constraint propagation, and leverage dynamics in any complex system. Each story element was mapped as a structural node: how it arose necessarily from what preceded it, and what it enabled downstream.</w:t>
            </w:r>
          </w:p>
          <w:p>
            <w:pPr>
              <w:spacing w:before="80" w:after="40"/>
            </w:pPr>
            <w:r>
              <w:rPr>
                <w:rFonts w:ascii="Arial" w:cs="Arial" w:eastAsia="Arial" w:hAnsi="Arial"/>
                <w:b/>
                <w:bCs/>
                <w:color w:val="1B4F72"/>
                <w:sz w:val="18"/>
                <w:szCs w:val="18"/>
              </w:rPr>
              <w:t xml:space="preserve">THE OUTPUT</w:t>
            </w:r>
          </w:p>
          <w:p>
            <w:pPr>
              <w:spacing w:before="0" w:after="120"/>
            </w:pPr>
            <w:r>
              <w:rPr>
                <w:rFonts w:ascii="Arial" w:cs="Arial" w:eastAsia="Arial" w:hAnsi="Arial"/>
                <w:color w:val="333333"/>
                <w:sz w:val="20"/>
                <w:szCs w:val="20"/>
              </w:rPr>
              <w:t xml:space="preserve">A structural rendering of a complex narrative system showing how every stage grows necessarily from the constraints that precede it. Demonstrates that the analytical framework is domain-agnostic — the same structural logic that applies to enterprise strategy applies to any system where cause, constraint, and consequence interact.</w:t>
            </w:r>
          </w:p>
          <w:p>
            <w:pPr>
              <w:spacing w:before="80" w:after="40"/>
            </w:pPr>
            <w:r>
              <w:rPr>
                <w:rFonts w:ascii="Arial" w:cs="Arial" w:eastAsia="Arial" w:hAnsi="Arial"/>
                <w:b/>
                <w:bCs/>
                <w:color w:val="1B4F72"/>
                <w:sz w:val="18"/>
                <w:szCs w:val="18"/>
              </w:rPr>
              <w:t xml:space="preserve">WHY IT MATTERS</w:t>
            </w:r>
          </w:p>
          <w:p>
            <w:pPr>
              <w:spacing w:before="0" w:after="80"/>
            </w:pPr>
            <w:r>
              <w:rPr>
                <w:rFonts w:ascii="Arial" w:cs="Arial" w:eastAsia="Arial" w:hAnsi="Arial"/>
                <w:i/>
                <w:iCs/>
                <w:color w:val="333333"/>
                <w:sz w:val="20"/>
                <w:szCs w:val="20"/>
              </w:rPr>
              <w:t xml:space="preserve">Demonstrates methodological range. The same framework that produces a 27-page enterprise strategy review can reveal structure in a 19th century novel — because structure is universal. Full analysis available upon request.</w:t>
            </w:r>
          </w:p>
        </w:tc>
      </w:tr>
    </w:tbl>
    <w:p>
      <w:pPr>
        <w:spacing w:before="200" w:after="200"/>
      </w:pPr>
      <w:r>
        <w:t xml:space="preserve"/>
      </w:r>
    </w:p>
    <w:p>
      <w:pPr>
        <w:pBdr>
          <w:bottom w:val="single" w:color="B7950B" w:sz="4" w:space="1"/>
        </w:pBdr>
        <w:spacing w:before="160" w:after="160"/>
      </w:pPr>
    </w:p>
    <w:p>
      <w:pPr>
        <w:spacing w:before="120" w:after="120"/>
      </w:pPr>
      <w:r>
        <w:t xml:space="preserve"/>
      </w:r>
    </w:p>
    <w:p>
      <w:pPr>
        <w:spacing w:before="0" w:after="80"/>
        <w:jc w:val="center"/>
      </w:pPr>
      <w:r>
        <w:rPr>
          <w:rFonts w:ascii="Arial" w:cs="Arial" w:eastAsia="Arial" w:hAnsi="Arial"/>
          <w:b/>
          <w:bCs/>
          <w:color w:val="0D1B2A"/>
          <w:sz w:val="22"/>
          <w:szCs w:val="22"/>
        </w:rPr>
        <w:t xml:space="preserve">ABOUT THE WORK</w:t>
      </w:r>
    </w:p>
    <w:p>
      <w:pPr>
        <w:spacing w:before="0" w:after="80"/>
        <w:jc w:val="center"/>
      </w:pPr>
      <w:r>
        <w:rPr>
          <w:rFonts w:ascii="Arial" w:cs="Arial" w:eastAsia="Arial" w:hAnsi="Arial"/>
          <w:color w:val="666666"/>
          <w:sz w:val="20"/>
          <w:szCs w:val="20"/>
        </w:rPr>
        <w:t xml:space="preserve">All three pieces were produced independently using the HoloShape analytical framework.</w:t>
      </w:r>
    </w:p>
    <w:p>
      <w:pPr>
        <w:spacing w:before="0" w:after="80"/>
        <w:jc w:val="center"/>
      </w:pPr>
      <w:r>
        <w:rPr>
          <w:rFonts w:ascii="Arial" w:cs="Arial" w:eastAsia="Arial" w:hAnsi="Arial"/>
          <w:color w:val="666666"/>
          <w:sz w:val="20"/>
          <w:szCs w:val="20"/>
        </w:rPr>
        <w:t xml:space="preserve">Full artifacts, methodology documentation, and engagement details available upon request.</w:t>
      </w:r>
    </w:p>
    <w:p>
      <w:pPr>
        <w:spacing w:before="80" w:after="80"/>
      </w:pPr>
      <w:r>
        <w:t xml:space="preserve"/>
      </w:r>
    </w:p>
    <w:p>
      <w:pPr>
        <w:spacing w:before="0" w:after="0"/>
        <w:jc w:val="center"/>
      </w:pPr>
      <w:r>
        <w:rPr>
          <w:rFonts w:ascii="Arial" w:cs="Arial" w:eastAsia="Arial" w:hAnsi="Arial"/>
          <w:color w:val="1B4F72"/>
          <w:sz w:val="19"/>
          <w:szCs w:val="19"/>
        </w:rPr>
        <w:t xml:space="preserve">DavidHKosky@gmail.com  //  718.404.6333  //  linkedin.com/in/davidkosky</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rPr>
        <w:rFonts w:ascii="Arial" w:cs="Arial" w:eastAsia="Arial" w:hAnsi="Arial"/>
        <w:sz w:val="20"/>
        <w:szCs w:val="20"/>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0D1B2A"/>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2026-03-07T04:39:19.411Z</dcterms:created>
  <dcterms:modified xsi:type="dcterms:W3CDTF">2026-03-07T04:39:19.412Z</dcterms:modified>
</cp:coreProperties>
</file>

<file path=docProps/custom.xml><?xml version="1.0" encoding="utf-8"?>
<Properties xmlns="http://schemas.openxmlformats.org/officeDocument/2006/custom-properties" xmlns:vt="http://schemas.openxmlformats.org/officeDocument/2006/docPropsVTypes"/>
</file>